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6C2D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07F7FB4E">
      <w:pPr>
        <w:pStyle w:val="3"/>
        <w:spacing w:line="460" w:lineRule="exact"/>
        <w:ind w:left="0"/>
        <w:jc w:val="center"/>
        <w:rPr>
          <w:rFonts w:hint="eastAsia" w:ascii="仿宋_GB2312" w:hAnsi="宋体" w:eastAsia="仿宋_GB2312" w:cs="Tahoma"/>
          <w:bCs/>
          <w:spacing w:val="-16"/>
          <w:sz w:val="32"/>
          <w:szCs w:val="32"/>
        </w:rPr>
      </w:pPr>
    </w:p>
    <w:p w14:paraId="4F7083AD">
      <w:pPr>
        <w:pStyle w:val="3"/>
        <w:spacing w:line="460" w:lineRule="exact"/>
        <w:ind w:left="0"/>
        <w:jc w:val="center"/>
        <w:rPr>
          <w:rFonts w:hint="eastAsia" w:ascii="仿宋" w:hAnsi="仿宋" w:eastAsia="仿宋" w:cs="仿宋"/>
          <w:bCs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食品安全追溯信息“一品一码”溯源平台</w:t>
      </w:r>
    </w:p>
    <w:p w14:paraId="2A78615C">
      <w:pPr>
        <w:pStyle w:val="3"/>
        <w:spacing w:line="460" w:lineRule="exact"/>
        <w:ind w:left="0"/>
        <w:jc w:val="center"/>
        <w:rPr>
          <w:rFonts w:hint="eastAsia" w:ascii="仿宋_GB2312" w:hAnsi="宋体" w:eastAsia="仿宋_GB2312" w:cs="Tahoma"/>
          <w:bCs/>
          <w:spacing w:val="-16"/>
          <w:sz w:val="32"/>
          <w:szCs w:val="32"/>
        </w:rPr>
      </w:pPr>
      <w:r>
        <w:rPr>
          <w:rFonts w:hint="eastAsia" w:ascii="仿宋" w:hAnsi="仿宋" w:eastAsia="仿宋" w:cs="仿宋"/>
          <w:bCs/>
          <w:sz w:val="32"/>
          <w:szCs w:val="32"/>
        </w:rPr>
        <w:t>项目</w:t>
      </w:r>
      <w:r>
        <w:rPr>
          <w:rFonts w:hint="eastAsia" w:ascii="仿宋_GB2312" w:hAnsi="宋体" w:eastAsia="仿宋_GB2312" w:cs="Tahoma"/>
          <w:bCs/>
          <w:spacing w:val="-16"/>
          <w:sz w:val="32"/>
          <w:szCs w:val="32"/>
        </w:rPr>
        <w:t>报价单</w:t>
      </w:r>
    </w:p>
    <w:p w14:paraId="673BD445">
      <w:pPr>
        <w:spacing w:line="46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</w:p>
    <w:p w14:paraId="7D4B50B3">
      <w:pPr>
        <w:tabs>
          <w:tab w:val="left" w:pos="0"/>
        </w:tabs>
        <w:spacing w:line="360" w:lineRule="auto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4D63E9F9">
      <w:pPr>
        <w:widowControl/>
        <w:spacing w:line="360" w:lineRule="auto"/>
        <w:ind w:firstLine="560" w:firstLineChars="200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我公司对贵公司食品安全追溯信息”一品一码”溯源平台项目包干含税总报价为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元），包干不含税总报价为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元）。</w:t>
      </w:r>
    </w:p>
    <w:p w14:paraId="028CF9D2">
      <w:pPr>
        <w:pStyle w:val="4"/>
        <w:spacing w:line="360" w:lineRule="auto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注：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>1.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7558917A">
      <w:pPr>
        <w:pStyle w:val="4"/>
        <w:spacing w:line="360" w:lineRule="auto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2.提供增值税专用发票的需填写提供的为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%的增值税专用发票（提供普票的不要填写）；</w:t>
      </w:r>
    </w:p>
    <w:p w14:paraId="61D1EB42">
      <w:pPr>
        <w:pStyle w:val="4"/>
        <w:spacing w:line="360" w:lineRule="auto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3.所有小写报价均精确到小数点后两位；</w:t>
      </w:r>
    </w:p>
    <w:p w14:paraId="4D3B3026">
      <w:pPr>
        <w:widowControl/>
        <w:spacing w:line="360" w:lineRule="auto"/>
        <w:ind w:firstLine="1120" w:firstLineChars="400"/>
        <w:jc w:val="left"/>
        <w:rPr>
          <w:rFonts w:hint="eastAsia" w:ascii="仿宋" w:hAnsi="仿宋" w:eastAsia="仿宋" w:cs="仿宋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4.以上报价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包括</w:t>
      </w:r>
      <w:r>
        <w:rPr>
          <w:rFonts w:hint="eastAsia" w:ascii="仿宋_GB2312" w:hAnsi="Verdana" w:eastAsia="仿宋_GB2312" w:cs="仿宋_GB2312"/>
          <w:color w:val="333333"/>
          <w:sz w:val="28"/>
          <w:szCs w:val="28"/>
        </w:rPr>
        <w:t>包括设计费、人工费、调试费、税费等所有费用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72B2EE3B">
      <w:pPr>
        <w:pStyle w:val="4"/>
        <w:spacing w:line="360" w:lineRule="auto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5.未按以上规定正确报价的视为无效报价；</w:t>
      </w:r>
    </w:p>
    <w:p w14:paraId="556A31C3">
      <w:pPr>
        <w:pStyle w:val="4"/>
        <w:spacing w:line="360" w:lineRule="auto"/>
        <w:ind w:firstLine="1120" w:firstLineChars="4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6.未填写报价日期和提供的所有材料未盖骑缝章、缺件的视为无效报价。</w:t>
      </w:r>
    </w:p>
    <w:p w14:paraId="6603E812">
      <w:pPr>
        <w:pStyle w:val="4"/>
        <w:spacing w:line="360" w:lineRule="auto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3EEAD966">
      <w:pPr>
        <w:pStyle w:val="4"/>
        <w:spacing w:line="360" w:lineRule="auto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52A2F63F">
      <w:pPr>
        <w:pStyle w:val="4"/>
        <w:spacing w:line="360" w:lineRule="auto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50CDA0B5">
      <w:pPr>
        <w:pStyle w:val="4"/>
        <w:spacing w:line="360" w:lineRule="auto"/>
        <w:rPr>
          <w:rFonts w:ascii="仿宋_GB2312" w:hAnsi="Verdana" w:eastAsia="仿宋_GB2312" w:cs="仿宋_GB2312"/>
          <w:color w:val="333333"/>
          <w:sz w:val="28"/>
          <w:szCs w:val="28"/>
        </w:rPr>
      </w:pPr>
      <w:r>
        <w:rPr>
          <w:rFonts w:hint="eastAsia" w:ascii="仿宋_GB2312" w:hAnsi="Verdana" w:eastAsia="仿宋_GB2312" w:cs="仿宋_GB2312"/>
          <w:color w:val="333333"/>
          <w:sz w:val="28"/>
          <w:szCs w:val="28"/>
        </w:rPr>
        <w:t>附:1.统一社会信用代码营业执照复印件（盖章）；</w:t>
      </w:r>
    </w:p>
    <w:p w14:paraId="7B9B2714">
      <w:pPr>
        <w:ind w:firstLine="560" w:firstLineChars="200"/>
        <w:rPr>
          <w:rFonts w:ascii="仿宋_GB2312" w:hAnsi="Verdana" w:eastAsia="仿宋_GB2312" w:cs="仿宋_GB2312"/>
          <w:color w:val="333333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>2.</w:t>
      </w:r>
      <w:r>
        <w:rPr>
          <w:rFonts w:hint="eastAsia" w:ascii="仿宋_GB2312" w:hAnsi="Verdana" w:eastAsia="仿宋_GB2312" w:cs="仿宋_GB2312"/>
          <w:color w:val="333333"/>
          <w:sz w:val="28"/>
          <w:szCs w:val="28"/>
        </w:rPr>
        <w:t>国家企业信用信息公示系统查询的服务商社医保人数不低于40人的网站截图（盖章）；</w:t>
      </w:r>
    </w:p>
    <w:p w14:paraId="0A37169E">
      <w:pPr>
        <w:ind w:firstLine="560" w:firstLineChars="200"/>
        <w:rPr>
          <w:rFonts w:ascii="仿宋_GB2312" w:hAnsi="Verdana" w:eastAsia="仿宋_GB2312" w:cs="仿宋_GB2312"/>
          <w:color w:val="333333"/>
          <w:sz w:val="28"/>
          <w:szCs w:val="28"/>
        </w:rPr>
      </w:pPr>
      <w:r>
        <w:rPr>
          <w:rFonts w:hint="eastAsia" w:ascii="仿宋_GB2312" w:hAnsi="Verdana" w:eastAsia="仿宋_GB2312" w:cs="仿宋_GB2312"/>
          <w:color w:val="333333"/>
          <w:sz w:val="28"/>
          <w:szCs w:val="28"/>
        </w:rPr>
        <w:t>3.信息技术服务管理体系认证证书（ISO/IEC20000-1:2018）复印件（盖章）；</w:t>
      </w:r>
    </w:p>
    <w:p w14:paraId="7E6B51AF">
      <w:pPr>
        <w:ind w:firstLine="560" w:firstLineChars="200"/>
        <w:rPr>
          <w:rFonts w:ascii="仿宋_GB2312" w:hAnsi="Verdana" w:eastAsia="仿宋_GB2312" w:cs="仿宋_GB2312"/>
          <w:color w:val="333333"/>
          <w:sz w:val="28"/>
          <w:szCs w:val="28"/>
        </w:rPr>
      </w:pPr>
      <w:r>
        <w:rPr>
          <w:rFonts w:hint="eastAsia" w:ascii="仿宋_GB2312" w:hAnsi="Verdana" w:eastAsia="仿宋_GB2312" w:cs="仿宋_GB2312"/>
          <w:color w:val="333333"/>
          <w:sz w:val="28"/>
          <w:szCs w:val="28"/>
        </w:rPr>
        <w:t>4.提供从电子税务局打印的2024年纳税人信用等级证明（盖章）；</w:t>
      </w:r>
    </w:p>
    <w:p w14:paraId="76299FCE">
      <w:pPr>
        <w:ind w:firstLine="560" w:firstLineChars="200"/>
        <w:rPr>
          <w:rFonts w:ascii="仿宋_GB2312" w:hAnsi="Verdana" w:eastAsia="仿宋_GB2312" w:cs="仿宋_GB2312"/>
          <w:color w:val="333333"/>
          <w:sz w:val="28"/>
          <w:szCs w:val="28"/>
        </w:rPr>
      </w:pPr>
      <w:r>
        <w:rPr>
          <w:rFonts w:hint="eastAsia" w:ascii="仿宋_GB2312" w:hAnsi="Verdana" w:eastAsia="仿宋_GB2312" w:cs="仿宋_GB2312"/>
          <w:color w:val="333333"/>
          <w:sz w:val="28"/>
          <w:szCs w:val="28"/>
        </w:rPr>
        <w:t>5.“信用中国”网站的查询结果打印件或截图（盖章）；</w:t>
      </w:r>
    </w:p>
    <w:p w14:paraId="35E49E25">
      <w:pPr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Verdana" w:eastAsia="仿宋_GB2312" w:cs="仿宋_GB2312"/>
          <w:color w:val="333333"/>
          <w:sz w:val="28"/>
          <w:szCs w:val="28"/>
        </w:rPr>
        <w:t>6.项目内容、功能参数响应、偏离表（盖章）。</w:t>
      </w:r>
    </w:p>
    <w:p w14:paraId="1E93B21B">
      <w:pPr>
        <w:pStyle w:val="4"/>
        <w:spacing w:line="360" w:lineRule="auto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23248649">
      <w:pPr>
        <w:pStyle w:val="4"/>
        <w:spacing w:line="360" w:lineRule="auto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4B405524">
      <w:pPr>
        <w:pStyle w:val="4"/>
        <w:spacing w:line="360" w:lineRule="auto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7E0F2FE0">
      <w:pPr>
        <w:pStyle w:val="4"/>
        <w:spacing w:line="360" w:lineRule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27AC9080">
      <w:pPr>
        <w:pStyle w:val="4"/>
        <w:spacing w:line="360" w:lineRule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p w14:paraId="4ECA18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EC5C6E"/>
    <w:rsid w:val="11EC5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格式"/>
    <w:basedOn w:val="1"/>
    <w:qFormat/>
    <w:uiPriority w:val="0"/>
    <w:pPr>
      <w:widowControl/>
      <w:adjustRightInd w:val="0"/>
      <w:snapToGrid w:val="0"/>
      <w:spacing w:line="360" w:lineRule="auto"/>
      <w:ind w:firstLine="527"/>
      <w:textAlignment w:val="baseline"/>
    </w:pPr>
    <w:rPr>
      <w:kern w:val="0"/>
      <w:sz w:val="24"/>
    </w:rPr>
  </w:style>
  <w:style w:type="paragraph" w:styleId="3">
    <w:name w:val="Body Text Indent 2"/>
    <w:basedOn w:val="1"/>
    <w:qFormat/>
    <w:uiPriority w:val="0"/>
    <w:pPr>
      <w:ind w:left="360"/>
    </w:pPr>
    <w:rPr>
      <w:b/>
      <w:color w:val="000000"/>
      <w:kern w:val="0"/>
      <w:sz w:val="28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2025-10-23T09:00:00Z</dcterms:created>
  <dc:creator>灵</dc:creator>
  <cp:lastModifiedBy>灵</cp:lastModifiedBy>
  <dcterms:modified xsi:type="dcterms:W3CDTF">2025-10-23T09:00:40Z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45EBF441F2AB442591A6ADA1740DE273_11</vt:lpwstr>
  </property>
  <property fmtid="{D5CDD505-2E9C-101B-9397-08002B2CF9AE}" pid="4" name="KSOTemplateDocerSaveRecord">
    <vt:lpwstr>eyJoZGlkIjoiMGE4MzFlM2MzMjQwZTgyMTMzODQ5NmQ5Njc3ZGMwNDgiLCJ1c2VySWQiOiIzNzI5MTE3NDYifQ==</vt:lpwstr>
  </property>
</Properties>
</file>